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Default="00F92268" w:rsidP="00850792">
      <w:pPr>
        <w:pStyle w:val="BodyText"/>
        <w:rPr>
          <w:sz w:val="6"/>
          <w:szCs w:val="6"/>
        </w:rPr>
      </w:pPr>
      <w:r w:rsidRPr="00FF5849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4664C3" w:rsidRPr="00BD1CC1" w14:paraId="2F2FF448" w14:textId="77777777" w:rsidTr="00B17E87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F77429" w14:textId="77777777" w:rsidR="004664C3" w:rsidRPr="00EC47B6" w:rsidRDefault="004664C3" w:rsidP="004664C3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4664C3" w:rsidRPr="00BD1CC1" w14:paraId="70002A45" w14:textId="77777777" w:rsidTr="00B17E87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2826" w14:textId="50FA909F" w:rsidR="004664C3" w:rsidRPr="00FF66BF" w:rsidRDefault="004664C3" w:rsidP="004664C3">
            <w:pPr>
              <w:pStyle w:val="RefTableData"/>
            </w:pPr>
            <w:r w:rsidRPr="00FF5849">
              <w:t>1899-A</w:t>
            </w:r>
          </w:p>
        </w:tc>
      </w:tr>
    </w:tbl>
    <w:p w14:paraId="74FBA5B4" w14:textId="77777777" w:rsidR="00051356" w:rsidRPr="00FF5849" w:rsidRDefault="00051356" w:rsidP="004664C3">
      <w:pPr>
        <w:pStyle w:val="BodyText"/>
        <w:spacing w:after="0"/>
        <w:rPr>
          <w:b/>
          <w:bCs/>
          <w:sz w:val="16"/>
          <w:szCs w:val="16"/>
        </w:rPr>
        <w:sectPr w:rsidR="00051356" w:rsidRPr="00FF5849" w:rsidSect="00147F64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9488C50" w:rsidR="004B15BB" w:rsidRPr="00FF5849" w:rsidRDefault="00DE086C" w:rsidP="007E5C16">
      <w:pPr>
        <w:pStyle w:val="Heading1"/>
      </w:pPr>
      <w:r w:rsidRPr="00FF5849">
        <w:t>Specialty Guideline Management</w:t>
      </w:r>
      <w:r w:rsidR="008C54D9" w:rsidRPr="00FF5849">
        <w:br/>
      </w:r>
      <w:r w:rsidR="004D4EBC" w:rsidRPr="00FF5849">
        <w:t>Perjeta</w:t>
      </w:r>
    </w:p>
    <w:p w14:paraId="78861C92" w14:textId="32A7AC29" w:rsidR="00203468" w:rsidRPr="00FF5849" w:rsidRDefault="00C64534" w:rsidP="008E0F0D">
      <w:pPr>
        <w:pStyle w:val="Heading2"/>
      </w:pPr>
      <w:r w:rsidRPr="00FF5849">
        <w:t xml:space="preserve">Products Referenced by this </w:t>
      </w:r>
      <w:r w:rsidR="00501602" w:rsidRPr="00FF5849">
        <w:t>Document</w:t>
      </w:r>
    </w:p>
    <w:p w14:paraId="5455152B" w14:textId="7DC57005" w:rsidR="008E0F0D" w:rsidRPr="00FF5849" w:rsidRDefault="00D82D85" w:rsidP="008B73E8">
      <w:pPr>
        <w:pStyle w:val="BodyText"/>
      </w:pPr>
      <w:r w:rsidRPr="00FF5849">
        <w:t xml:space="preserve">Drugs that are listed in the </w:t>
      </w:r>
      <w:r w:rsidR="000315F1" w:rsidRPr="00FF5849">
        <w:t>following table</w:t>
      </w:r>
      <w:r w:rsidRPr="00FF5849">
        <w:t xml:space="preserve"> include both brand and generic and all dosage forms and strengths unless otherwise stated. </w:t>
      </w:r>
      <w:r w:rsidR="003C60D3" w:rsidRPr="00503B28">
        <w:rPr>
          <w:lang w:val="en-GB"/>
        </w:rPr>
        <w:t xml:space="preserve">Over-the-counter </w:t>
      </w:r>
      <w:r w:rsidR="003C60D3">
        <w:rPr>
          <w:lang w:val="en-GB"/>
        </w:rPr>
        <w:t>(</w:t>
      </w:r>
      <w:r w:rsidRPr="00FF5849">
        <w:t>OTC</w:t>
      </w:r>
      <w:r w:rsidR="003C60D3">
        <w:t>)</w:t>
      </w:r>
      <w:r w:rsidRPr="00FF5849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FF5849" w14:paraId="158421F8" w14:textId="77777777" w:rsidTr="006578A9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FF5849" w:rsidRDefault="00252CE1" w:rsidP="00221DAB">
            <w:pPr>
              <w:pStyle w:val="TableHeader"/>
              <w:spacing w:after="0"/>
            </w:pPr>
            <w:bookmarkStart w:id="0" w:name="_Hlk159603270"/>
            <w:r w:rsidRPr="00FF5849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FF5849" w:rsidRDefault="00252CE1" w:rsidP="00221DAB">
            <w:pPr>
              <w:pStyle w:val="TableHeader"/>
              <w:spacing w:after="0"/>
            </w:pPr>
            <w:r w:rsidRPr="00FF5849">
              <w:t>Generic Name</w:t>
            </w:r>
          </w:p>
        </w:tc>
      </w:tr>
      <w:tr w:rsidR="00585FFF" w:rsidRPr="00FF5849" w14:paraId="2AD5C02D" w14:textId="77777777" w:rsidTr="006578A9">
        <w:trPr>
          <w:cantSplit/>
        </w:trPr>
        <w:tc>
          <w:tcPr>
            <w:tcW w:w="5265" w:type="dxa"/>
          </w:tcPr>
          <w:p w14:paraId="2D8FA8E3" w14:textId="6842335F" w:rsidR="00585FFF" w:rsidRPr="00FF5849" w:rsidRDefault="004D4EBC" w:rsidP="00221DAB">
            <w:pPr>
              <w:pStyle w:val="TableData"/>
              <w:spacing w:after="0"/>
            </w:pPr>
            <w:r w:rsidRPr="00FF5849">
              <w:t>Perjeta</w:t>
            </w:r>
          </w:p>
        </w:tc>
        <w:tc>
          <w:tcPr>
            <w:tcW w:w="5595" w:type="dxa"/>
          </w:tcPr>
          <w:p w14:paraId="7E26A004" w14:textId="1FA96A9B" w:rsidR="00585FFF" w:rsidRPr="00FF5849" w:rsidRDefault="004D4EBC" w:rsidP="00221DAB">
            <w:pPr>
              <w:pStyle w:val="TableData"/>
              <w:spacing w:after="0"/>
            </w:pPr>
            <w:proofErr w:type="spellStart"/>
            <w:r w:rsidRPr="00FF5849">
              <w:t>pertuzumab</w:t>
            </w:r>
            <w:proofErr w:type="spellEnd"/>
          </w:p>
        </w:tc>
      </w:tr>
    </w:tbl>
    <w:bookmarkEnd w:id="0"/>
    <w:p w14:paraId="40861567" w14:textId="0A6613B4" w:rsidR="00F11AFD" w:rsidRPr="00FF5849" w:rsidRDefault="00ED052F" w:rsidP="00F11AFD">
      <w:pPr>
        <w:pStyle w:val="Heading2"/>
      </w:pPr>
      <w:r w:rsidRPr="00FF5849">
        <w:t xml:space="preserve">Indications </w:t>
      </w:r>
    </w:p>
    <w:p w14:paraId="4E5FCFB2" w14:textId="60F9384C" w:rsidR="00B26F29" w:rsidRPr="00FF5849" w:rsidRDefault="00B26F29" w:rsidP="00B26F29">
      <w:pPr>
        <w:pStyle w:val="BodyText"/>
      </w:pPr>
      <w:r w:rsidRPr="00FF5849">
        <w:t>The indications below including FDA-approved indications and compendial uses are considered a covered benefit provided that all the approval criteria are met and the member has no exclusions to the prescribed therapy</w:t>
      </w:r>
      <w:r w:rsidR="004664C3">
        <w:t>.</w:t>
      </w:r>
    </w:p>
    <w:p w14:paraId="134B5687" w14:textId="18402007" w:rsidR="00ED052F" w:rsidRPr="00FF5849" w:rsidRDefault="00ED052F" w:rsidP="00ED052F">
      <w:pPr>
        <w:pStyle w:val="Heading3"/>
        <w:keepNext w:val="0"/>
      </w:pPr>
      <w:r w:rsidRPr="00FF5849">
        <w:t>FDA-approved Indications</w:t>
      </w:r>
      <w:r w:rsidR="00D15BFA">
        <w:rPr>
          <w:vertAlign w:val="superscript"/>
        </w:rPr>
        <w:t>1</w:t>
      </w:r>
    </w:p>
    <w:p w14:paraId="458AD1CF" w14:textId="77777777" w:rsidR="00AA3142" w:rsidRPr="00FF5849" w:rsidRDefault="00AA3142" w:rsidP="00C30288">
      <w:pPr>
        <w:pStyle w:val="Heading4"/>
      </w:pPr>
      <w:r w:rsidRPr="00FF5849">
        <w:t>Metastatic breast cancer</w:t>
      </w:r>
    </w:p>
    <w:p w14:paraId="799FC6A4" w14:textId="77777777" w:rsidR="00AA3142" w:rsidRPr="00FF5849" w:rsidRDefault="00AA3142" w:rsidP="00C30288">
      <w:pPr>
        <w:pStyle w:val="BodyText"/>
      </w:pPr>
      <w:r w:rsidRPr="00FF5849">
        <w:t>In combination with trastuzumab and docetaxel for the treatment of patients with human epidermal growth factor receptor 2 (HER2)-positive metastatic breast cancer who have not received prior anti-HER2 therapy or chemotherapy for metastatic disease.</w:t>
      </w:r>
    </w:p>
    <w:p w14:paraId="37975AC0" w14:textId="77777777" w:rsidR="00AA3142" w:rsidRPr="00FF5849" w:rsidRDefault="00AA3142" w:rsidP="00C30288">
      <w:pPr>
        <w:pStyle w:val="Heading4"/>
      </w:pPr>
      <w:r w:rsidRPr="00FF5849">
        <w:t>Neoadjuvant treatment of breast cancer</w:t>
      </w:r>
    </w:p>
    <w:p w14:paraId="448138F0" w14:textId="6F196496" w:rsidR="00AA3142" w:rsidRPr="00FF5849" w:rsidRDefault="00AA3142" w:rsidP="00C30288">
      <w:pPr>
        <w:pStyle w:val="BodyText"/>
      </w:pPr>
      <w:r w:rsidRPr="00FF5849">
        <w:t>In combination with trastuzumab and chemotherapy as neoadjuvant treatment of patients with HER2-positive, locally advanced, inflammatory, or early stage breast cancer (either greater than 2 cm in diameter or node positive) as part of a complete treatment regimen for early breast cancer.</w:t>
      </w:r>
    </w:p>
    <w:p w14:paraId="347CCD9E" w14:textId="77777777" w:rsidR="00AA3142" w:rsidRPr="00FF5849" w:rsidRDefault="00AA3142" w:rsidP="00C30288">
      <w:pPr>
        <w:pStyle w:val="Heading4"/>
      </w:pPr>
      <w:r w:rsidRPr="00FF5849">
        <w:t>Adjuvant treatment of breast cancer</w:t>
      </w:r>
    </w:p>
    <w:p w14:paraId="32E9021D" w14:textId="77777777" w:rsidR="00AA3142" w:rsidRPr="00FF5849" w:rsidRDefault="00AA3142" w:rsidP="004664C3">
      <w:pPr>
        <w:pStyle w:val="BodyText"/>
      </w:pPr>
      <w:r w:rsidRPr="00FF5849">
        <w:t xml:space="preserve">In combination with </w:t>
      </w:r>
      <w:r w:rsidRPr="004664C3">
        <w:t>trastuzumab</w:t>
      </w:r>
      <w:r w:rsidRPr="00FF5849">
        <w:t xml:space="preserve"> and chemotherapy as adjuvant treatment of patients with HER2-positive early breast cancer at high risk of recurrence.</w:t>
      </w:r>
    </w:p>
    <w:p w14:paraId="310AF9A6" w14:textId="55534204" w:rsidR="00AA3142" w:rsidRPr="00FF5849" w:rsidRDefault="00AA3142" w:rsidP="00AA3142">
      <w:pPr>
        <w:pStyle w:val="Heading3"/>
      </w:pPr>
      <w:r w:rsidRPr="00FF5849">
        <w:lastRenderedPageBreak/>
        <w:t>Compendial Uses</w:t>
      </w:r>
      <w:r w:rsidR="00D15BFA">
        <w:rPr>
          <w:vertAlign w:val="superscript"/>
        </w:rPr>
        <w:t>2</w:t>
      </w:r>
    </w:p>
    <w:p w14:paraId="32D8B0F5" w14:textId="542FF8B5" w:rsidR="00AA3142" w:rsidRPr="00FF5849" w:rsidRDefault="00AA3142" w:rsidP="00BE1ED6">
      <w:pPr>
        <w:pStyle w:val="ListParagraph"/>
        <w:numPr>
          <w:ilvl w:val="0"/>
          <w:numId w:val="41"/>
        </w:numPr>
        <w:contextualSpacing w:val="0"/>
      </w:pPr>
      <w:r w:rsidRPr="00FF5849">
        <w:t>HER2-positive breast cancer</w:t>
      </w:r>
    </w:p>
    <w:p w14:paraId="3E0986C3" w14:textId="76DBDDCC" w:rsidR="00AA3142" w:rsidRPr="00FF5849" w:rsidRDefault="00AA3142" w:rsidP="00BE1ED6">
      <w:pPr>
        <w:pStyle w:val="ListParagraph"/>
        <w:numPr>
          <w:ilvl w:val="0"/>
          <w:numId w:val="41"/>
        </w:numPr>
        <w:contextualSpacing w:val="0"/>
      </w:pPr>
      <w:r w:rsidRPr="00FF5849">
        <w:t>HER2-amplified and RAS and BRAF wild-type colorectal cancer (including appendiceal adenocarcinoma and anal adenocarcinoma)</w:t>
      </w:r>
    </w:p>
    <w:p w14:paraId="0E83C5ED" w14:textId="657D4939" w:rsidR="00AA3142" w:rsidRPr="00FF5849" w:rsidRDefault="00AA3142" w:rsidP="00BE1ED6">
      <w:pPr>
        <w:pStyle w:val="ListParagraph"/>
        <w:numPr>
          <w:ilvl w:val="0"/>
          <w:numId w:val="41"/>
        </w:numPr>
        <w:contextualSpacing w:val="0"/>
      </w:pPr>
      <w:r w:rsidRPr="00FF5849">
        <w:t>HER2-positive salivary gland tumors</w:t>
      </w:r>
    </w:p>
    <w:p w14:paraId="704CDBD4" w14:textId="6BD8CF52" w:rsidR="00AA3142" w:rsidRPr="00FF5849" w:rsidRDefault="00AA3142" w:rsidP="00BE1ED6">
      <w:pPr>
        <w:pStyle w:val="ListParagraph"/>
        <w:numPr>
          <w:ilvl w:val="0"/>
          <w:numId w:val="41"/>
        </w:numPr>
        <w:contextualSpacing w:val="0"/>
      </w:pPr>
      <w:bookmarkStart w:id="1" w:name="OLE_LINK2"/>
      <w:r w:rsidRPr="00FF5849">
        <w:t>HER2-positive biliary</w:t>
      </w:r>
      <w:r w:rsidR="003C60D3">
        <w:t xml:space="preserve"> tract</w:t>
      </w:r>
      <w:r w:rsidRPr="00FF5849">
        <w:t xml:space="preserve"> cancers</w:t>
      </w:r>
    </w:p>
    <w:p w14:paraId="38719654" w14:textId="1DD14BC9" w:rsidR="00AA3142" w:rsidRPr="00FF5849" w:rsidRDefault="00AA3142" w:rsidP="004664C3">
      <w:pPr>
        <w:pStyle w:val="BodyText"/>
      </w:pPr>
      <w:r w:rsidRPr="00FF5849">
        <w:t>All other indications are considered experimental/</w:t>
      </w:r>
      <w:r w:rsidRPr="004664C3">
        <w:t>investigational</w:t>
      </w:r>
      <w:r w:rsidRPr="00FF5849">
        <w:t xml:space="preserve"> and not medically necessary</w:t>
      </w:r>
      <w:r w:rsidR="004664C3">
        <w:t>.</w:t>
      </w:r>
    </w:p>
    <w:bookmarkEnd w:id="1"/>
    <w:p w14:paraId="36381B6D" w14:textId="326FEBE1" w:rsidR="000D2496" w:rsidRPr="00FF5849" w:rsidRDefault="000D2496" w:rsidP="000D2496">
      <w:pPr>
        <w:pStyle w:val="Heading2"/>
      </w:pPr>
      <w:r w:rsidRPr="00FF5849">
        <w:t>Documentation</w:t>
      </w:r>
    </w:p>
    <w:p w14:paraId="2180ED6E" w14:textId="0B1CAEF0" w:rsidR="000D2496" w:rsidRPr="00FF5849" w:rsidRDefault="00B26F29" w:rsidP="00FF5849">
      <w:pPr>
        <w:pStyle w:val="BodyText"/>
      </w:pPr>
      <w:r w:rsidRPr="00FF5849">
        <w:t xml:space="preserve">Submission of the following information is necessary to initiate the prior authorization review: </w:t>
      </w:r>
      <w:r w:rsidR="00EE5BC6" w:rsidRPr="00FF5849">
        <w:t>human epidermal growth factor receptor 2 (HER2) status, RAS mutation status (where applicable), BRAF mutation status (where applicable)</w:t>
      </w:r>
    </w:p>
    <w:p w14:paraId="4DF59CAC" w14:textId="6FFEA96A" w:rsidR="00B26F29" w:rsidRPr="00FF5849" w:rsidRDefault="00FF5849" w:rsidP="004212D9">
      <w:pPr>
        <w:pStyle w:val="Heading2"/>
        <w:tabs>
          <w:tab w:val="left" w:pos="9345"/>
        </w:tabs>
      </w:pPr>
      <w:r>
        <w:t xml:space="preserve">Coverage </w:t>
      </w:r>
      <w:r w:rsidR="00B26F29" w:rsidRPr="00FF5849">
        <w:t>Criteria</w:t>
      </w:r>
    </w:p>
    <w:p w14:paraId="2B038506" w14:textId="438D8654" w:rsidR="00995F1D" w:rsidRPr="0073549B" w:rsidRDefault="00995F1D" w:rsidP="00B92464">
      <w:pPr>
        <w:pStyle w:val="Heading3"/>
        <w:rPr>
          <w:vertAlign w:val="superscript"/>
        </w:rPr>
      </w:pPr>
      <w:r w:rsidRPr="00FF5849">
        <w:t>Breast Cancer</w:t>
      </w:r>
      <w:r w:rsidR="00D15BFA">
        <w:rPr>
          <w:vertAlign w:val="superscript"/>
        </w:rPr>
        <w:t>1-3</w:t>
      </w:r>
    </w:p>
    <w:p w14:paraId="411306D4" w14:textId="6F3BD54B" w:rsidR="00995F1D" w:rsidRPr="00FF5849" w:rsidRDefault="00995F1D" w:rsidP="007B24E6">
      <w:pPr>
        <w:pStyle w:val="ListParagraph"/>
        <w:numPr>
          <w:ilvl w:val="0"/>
          <w:numId w:val="45"/>
        </w:numPr>
      </w:pPr>
      <w:r w:rsidRPr="00FF5849">
        <w:t>Authorization of 12 months may be granted for pre-operative (neoadjuvant) t</w:t>
      </w:r>
      <w:r w:rsidR="003C60D3">
        <w:t>reatment</w:t>
      </w:r>
      <w:r w:rsidRPr="00FF5849">
        <w:t xml:space="preserve"> of HER2-positive breast cancer in combination with trastuzumab and chemotherapy for locally advanced, inflammatory or early stage breast cancer (either greater than 2 cm in diameter or node positive).</w:t>
      </w:r>
    </w:p>
    <w:p w14:paraId="11F9D014" w14:textId="4EF1ED99" w:rsidR="00995F1D" w:rsidRPr="00FF5849" w:rsidRDefault="00995F1D" w:rsidP="007B24E6">
      <w:pPr>
        <w:pStyle w:val="ListParagraph"/>
        <w:numPr>
          <w:ilvl w:val="0"/>
          <w:numId w:val="45"/>
        </w:numPr>
      </w:pPr>
      <w:r w:rsidRPr="00FF5849">
        <w:t>Authorization of 12 months may be granted for adjuvant t</w:t>
      </w:r>
      <w:r w:rsidR="003C60D3">
        <w:t>reatment</w:t>
      </w:r>
      <w:r w:rsidRPr="00FF5849">
        <w:t xml:space="preserve"> of HER2-positive breast cancer in combination with trastuzumab </w:t>
      </w:r>
      <w:r w:rsidR="0000706F">
        <w:t>with or without</w:t>
      </w:r>
      <w:r w:rsidRPr="00FF5849">
        <w:t xml:space="preserve"> chemotherapy.</w:t>
      </w:r>
    </w:p>
    <w:p w14:paraId="37B059AC" w14:textId="420FB84A" w:rsidR="00995F1D" w:rsidRPr="00FF5849" w:rsidRDefault="00995F1D" w:rsidP="007B24E6">
      <w:pPr>
        <w:pStyle w:val="ListParagraph"/>
        <w:numPr>
          <w:ilvl w:val="0"/>
          <w:numId w:val="45"/>
        </w:numPr>
      </w:pPr>
      <w:r w:rsidRPr="00FF5849">
        <w:t>Authorizations of 12 months may be granted for the treatment of recurrent or metastatic HER2-positive breast cancer or HER2-positive breast cancer with no response to preoperative systemic therapy in combination with trastuzumab</w:t>
      </w:r>
      <w:r w:rsidR="003C60D3" w:rsidRPr="003C60D3">
        <w:t xml:space="preserve"> with or without chemotherapy</w:t>
      </w:r>
      <w:r w:rsidRPr="00FF5849">
        <w:t>.</w:t>
      </w:r>
    </w:p>
    <w:p w14:paraId="01466542" w14:textId="69B89092" w:rsidR="00F84556" w:rsidRPr="0073549B" w:rsidRDefault="00995F1D" w:rsidP="00F84556">
      <w:pPr>
        <w:pStyle w:val="Heading3"/>
        <w:keepNext w:val="0"/>
        <w:keepLines w:val="0"/>
        <w:widowControl w:val="0"/>
        <w:rPr>
          <w:vertAlign w:val="superscript"/>
        </w:rPr>
      </w:pPr>
      <w:r w:rsidRPr="00FF5849">
        <w:t>Colorectal Cancer</w:t>
      </w:r>
      <w:r w:rsidR="00D15BFA">
        <w:rPr>
          <w:vertAlign w:val="superscript"/>
        </w:rPr>
        <w:t>2,4</w:t>
      </w:r>
    </w:p>
    <w:p w14:paraId="2FCDBBC4" w14:textId="3234E8AA" w:rsidR="00E82208" w:rsidRDefault="00995F1D" w:rsidP="004664C3">
      <w:pPr>
        <w:pStyle w:val="BodyText"/>
      </w:pPr>
      <w:r w:rsidRPr="00FF5849">
        <w:t xml:space="preserve">Authorization of 12 months may be granted for treatment of colorectal cancer, including appendiceal adenocarcinoma and anal </w:t>
      </w:r>
      <w:r w:rsidRPr="004664C3">
        <w:t>adenocarcinoma</w:t>
      </w:r>
      <w:r w:rsidRPr="00FF5849">
        <w:t>, with HER2-amplified and RAS and BRAF wild-type disease in combination with trastuzumab when either of the following are met:</w:t>
      </w:r>
    </w:p>
    <w:p w14:paraId="32D5B94D" w14:textId="2ABEA411" w:rsidR="005612FF" w:rsidRPr="00FF5849" w:rsidRDefault="00995F1D" w:rsidP="005612FF">
      <w:pPr>
        <w:pStyle w:val="ListParagraph"/>
        <w:widowControl w:val="0"/>
        <w:numPr>
          <w:ilvl w:val="0"/>
          <w:numId w:val="47"/>
        </w:numPr>
        <w:contextualSpacing w:val="0"/>
      </w:pPr>
      <w:r w:rsidRPr="00FF5849">
        <w:t>Member is not appropriate for intensive therapy</w:t>
      </w:r>
      <w:r w:rsidR="00455EB2">
        <w:t>.</w:t>
      </w:r>
    </w:p>
    <w:p w14:paraId="3EA6E813" w14:textId="058B000F" w:rsidR="00194EB4" w:rsidRPr="00FF5849" w:rsidRDefault="003C60D3" w:rsidP="00E119D5">
      <w:pPr>
        <w:pStyle w:val="ListParagraph"/>
        <w:numPr>
          <w:ilvl w:val="0"/>
          <w:numId w:val="47"/>
        </w:numPr>
        <w:contextualSpacing w:val="0"/>
      </w:pPr>
      <w:r>
        <w:t>The requested medication</w:t>
      </w:r>
      <w:r w:rsidRPr="00FF5849">
        <w:t xml:space="preserve"> </w:t>
      </w:r>
      <w:r w:rsidR="00995F1D" w:rsidRPr="00FF5849">
        <w:t>will be used as subsequent therapy for progression of advanced or metastatic disease</w:t>
      </w:r>
      <w:r w:rsidR="00455EB2">
        <w:t xml:space="preserve"> and has disease </w:t>
      </w:r>
      <w:r w:rsidR="00455EB2" w:rsidRPr="00FF5849">
        <w:t>not previously treated with HER2 inhibitor</w:t>
      </w:r>
      <w:r w:rsidR="0000706F">
        <w:t>.</w:t>
      </w:r>
    </w:p>
    <w:p w14:paraId="142ED7C5" w14:textId="38F80634" w:rsidR="00995F1D" w:rsidRPr="0073549B" w:rsidRDefault="00995F1D" w:rsidP="00F84556">
      <w:pPr>
        <w:pStyle w:val="Heading3"/>
        <w:tabs>
          <w:tab w:val="left" w:pos="7968"/>
        </w:tabs>
        <w:rPr>
          <w:vertAlign w:val="superscript"/>
        </w:rPr>
      </w:pPr>
      <w:r w:rsidRPr="00FF5849">
        <w:t>Salivary Gland Tumor</w:t>
      </w:r>
      <w:r w:rsidR="00D15BFA">
        <w:rPr>
          <w:vertAlign w:val="superscript"/>
        </w:rPr>
        <w:t>2,5</w:t>
      </w:r>
    </w:p>
    <w:p w14:paraId="17D4D7BC" w14:textId="704EE612" w:rsidR="00995F1D" w:rsidRPr="00FF5849" w:rsidRDefault="00995F1D" w:rsidP="00FF5849">
      <w:pPr>
        <w:pStyle w:val="BodyText"/>
      </w:pPr>
      <w:r w:rsidRPr="00FF5849">
        <w:t>Authorization of 12 months may be granted for treatment of recurrent</w:t>
      </w:r>
      <w:r w:rsidR="003C60D3">
        <w:t>, unresectable or metastatic</w:t>
      </w:r>
      <w:r w:rsidRPr="00FF5849">
        <w:t xml:space="preserve"> HER2-positive salivary gland tumors in combination with trastuzumab.</w:t>
      </w:r>
    </w:p>
    <w:p w14:paraId="5B65076F" w14:textId="73F510AB" w:rsidR="00995F1D" w:rsidRPr="0073549B" w:rsidRDefault="00C20444" w:rsidP="002C20BC">
      <w:pPr>
        <w:pStyle w:val="Heading3"/>
        <w:rPr>
          <w:vertAlign w:val="superscript"/>
        </w:rPr>
      </w:pPr>
      <w:r>
        <w:t xml:space="preserve">Biliary Tract </w:t>
      </w:r>
      <w:r w:rsidR="00995F1D" w:rsidRPr="00FF5849">
        <w:t>Cancers</w:t>
      </w:r>
      <w:r w:rsidR="00D15BFA">
        <w:rPr>
          <w:vertAlign w:val="superscript"/>
        </w:rPr>
        <w:t>2</w:t>
      </w:r>
    </w:p>
    <w:p w14:paraId="697787DB" w14:textId="6667FC3D" w:rsidR="00995F1D" w:rsidRPr="00FF5849" w:rsidRDefault="00995F1D" w:rsidP="00FF5849">
      <w:pPr>
        <w:pStyle w:val="BodyText"/>
      </w:pPr>
      <w:r w:rsidRPr="00FF5849">
        <w:t>Authorization of 12 months may be granted for subsequent treatment of unresectable</w:t>
      </w:r>
      <w:r w:rsidR="00C20444">
        <w:t>,</w:t>
      </w:r>
      <w:r w:rsidR="00C20444" w:rsidRPr="00C20444">
        <w:t xml:space="preserve"> resected gross residual (R2) disease</w:t>
      </w:r>
      <w:r w:rsidR="00C20444">
        <w:t>,</w:t>
      </w:r>
      <w:r w:rsidRPr="00FF5849">
        <w:t xml:space="preserve"> or metastatic HER2-positive biliary</w:t>
      </w:r>
      <w:r w:rsidR="00C20444">
        <w:t xml:space="preserve"> tract</w:t>
      </w:r>
      <w:r w:rsidRPr="00FF5849">
        <w:t xml:space="preserve"> cancers (including intrahepatic and extrahepatic cholangiocarcinoma and gallbladder cancer) when used in combination with trastuzumab. </w:t>
      </w:r>
    </w:p>
    <w:p w14:paraId="3A643EC3" w14:textId="1D15095D" w:rsidR="00A501AC" w:rsidRPr="00FF5849" w:rsidRDefault="00A501AC" w:rsidP="00A501AC">
      <w:pPr>
        <w:pStyle w:val="Heading2"/>
      </w:pPr>
      <w:r w:rsidRPr="00FF5849">
        <w:t>Continuation of Therapy</w:t>
      </w:r>
    </w:p>
    <w:p w14:paraId="0ABE7C3D" w14:textId="39DDFDA5" w:rsidR="00822C04" w:rsidRPr="00FF5849" w:rsidRDefault="00822C04" w:rsidP="00FF5849">
      <w:pPr>
        <w:pStyle w:val="BodyText"/>
      </w:pPr>
      <w:r w:rsidRPr="00FF5849">
        <w:t xml:space="preserve">Authorization of 12 months may be granted for continued treatment in members requesting reauthorization for an indication listed in </w:t>
      </w:r>
      <w:r w:rsidR="00425C47">
        <w:t>the coverage criteria section</w:t>
      </w:r>
      <w:r w:rsidRPr="00FF5849">
        <w:t xml:space="preserve"> when there is no evidence of unacceptable toxicity or disease progression while on the current regimen.</w:t>
      </w:r>
      <w:r w:rsidR="00FF5849">
        <w:t xml:space="preserve"> </w:t>
      </w:r>
      <w:r w:rsidRPr="00FF5849">
        <w:t>Adjuvant and neoadjuvant treatment of breast cancer will be approved for a total of 12 months of therapy</w:t>
      </w:r>
      <w:r w:rsidR="0074266B" w:rsidRPr="00FF5849">
        <w:t>.</w:t>
      </w:r>
    </w:p>
    <w:p w14:paraId="17409917" w14:textId="1784B50F" w:rsidR="00C96B3F" w:rsidRPr="00FF5849" w:rsidRDefault="00C96B3F" w:rsidP="008D1B34">
      <w:pPr>
        <w:pStyle w:val="Heading2"/>
      </w:pPr>
      <w:r w:rsidRPr="00FF5849">
        <w:t>References</w:t>
      </w:r>
    </w:p>
    <w:p w14:paraId="37098102" w14:textId="77777777" w:rsidR="00822C04" w:rsidRPr="00FF5849" w:rsidRDefault="00822C04" w:rsidP="00EE5863">
      <w:pPr>
        <w:pStyle w:val="ReferenceOrdered"/>
        <w:keepNext w:val="0"/>
        <w:numPr>
          <w:ilvl w:val="0"/>
          <w:numId w:val="31"/>
        </w:numPr>
        <w:ind w:left="360" w:hanging="360"/>
      </w:pPr>
      <w:r w:rsidRPr="00FF5849">
        <w:t>Perjeta [package insert]. South San Francisco, CA: Genentech, Inc.; February 2021.</w:t>
      </w:r>
    </w:p>
    <w:p w14:paraId="02A6EF57" w14:textId="145B43C9" w:rsidR="00822C04" w:rsidRPr="00FF5849" w:rsidRDefault="00822C04" w:rsidP="00EE5863">
      <w:pPr>
        <w:pStyle w:val="ReferenceOrdered"/>
        <w:keepNext w:val="0"/>
        <w:numPr>
          <w:ilvl w:val="0"/>
          <w:numId w:val="31"/>
        </w:numPr>
        <w:ind w:left="360" w:hanging="360"/>
      </w:pPr>
      <w:r w:rsidRPr="00FF5849">
        <w:t>The NCCN Drugs &amp; Biologics Compendium® © 202</w:t>
      </w:r>
      <w:r w:rsidR="00D15BFA">
        <w:t>4</w:t>
      </w:r>
      <w:r w:rsidRPr="00FF5849">
        <w:t xml:space="preserve"> National Comprehensive Cancer Network, Inc. https://www.nccn.org. Accessed </w:t>
      </w:r>
      <w:r w:rsidR="00D15BFA">
        <w:t>November</w:t>
      </w:r>
      <w:r w:rsidR="00D15BFA" w:rsidRPr="00FF5849">
        <w:t xml:space="preserve"> </w:t>
      </w:r>
      <w:r w:rsidR="00D15BFA">
        <w:t>2</w:t>
      </w:r>
      <w:r w:rsidRPr="00FF5849">
        <w:t>9, 202</w:t>
      </w:r>
      <w:r w:rsidR="00D15BFA">
        <w:t>4</w:t>
      </w:r>
      <w:r w:rsidRPr="00FF5849">
        <w:t>.</w:t>
      </w:r>
    </w:p>
    <w:p w14:paraId="59388644" w14:textId="718A19CE" w:rsidR="00822C04" w:rsidRPr="00FF5849" w:rsidRDefault="00822C04" w:rsidP="00EE5863">
      <w:pPr>
        <w:pStyle w:val="ReferenceOrdered"/>
        <w:keepNext w:val="0"/>
        <w:numPr>
          <w:ilvl w:val="0"/>
          <w:numId w:val="31"/>
        </w:numPr>
        <w:ind w:left="360" w:hanging="360"/>
      </w:pPr>
      <w:r w:rsidRPr="00FF5849">
        <w:t xml:space="preserve">National Comprehensive Cancer Network. NCCN Clinical Practice Guidelines in Oncology: Breast Cancer. Version </w:t>
      </w:r>
      <w:r w:rsidR="009A40BE">
        <w:t>6</w:t>
      </w:r>
      <w:r w:rsidRPr="00FF5849">
        <w:t>.202</w:t>
      </w:r>
      <w:r w:rsidR="009A40BE">
        <w:t>4</w:t>
      </w:r>
      <w:r w:rsidRPr="00FF5849">
        <w:t xml:space="preserve">. https://www.nccn.org/professionals/physician_gls/pdf/breast.pdf. Accessed </w:t>
      </w:r>
      <w:r w:rsidR="00D15BFA">
        <w:t>November</w:t>
      </w:r>
      <w:r w:rsidR="00D15BFA" w:rsidRPr="00FF5849">
        <w:t xml:space="preserve"> </w:t>
      </w:r>
      <w:r w:rsidR="00D15BFA">
        <w:t>2</w:t>
      </w:r>
      <w:r w:rsidRPr="00FF5849">
        <w:t>9, 202</w:t>
      </w:r>
      <w:r w:rsidR="00D15BFA">
        <w:t>4</w:t>
      </w:r>
      <w:r w:rsidRPr="00FF5849">
        <w:t>.</w:t>
      </w:r>
    </w:p>
    <w:p w14:paraId="710EE6CE" w14:textId="51E37D4C" w:rsidR="00D15BFA" w:rsidRDefault="00822C04" w:rsidP="00D15BFA">
      <w:pPr>
        <w:pStyle w:val="ReferenceOrdered"/>
        <w:keepNext w:val="0"/>
        <w:numPr>
          <w:ilvl w:val="0"/>
          <w:numId w:val="31"/>
        </w:numPr>
        <w:ind w:left="360" w:hanging="360"/>
      </w:pPr>
      <w:r w:rsidRPr="00FF5849">
        <w:t>National Comprehensive Cancer Network. NCCN Clinical Practice Guidelines in Oncology: Anal Carcinoma. Version</w:t>
      </w:r>
      <w:r w:rsidR="00E20361">
        <w:t>1</w:t>
      </w:r>
      <w:r w:rsidRPr="00FF5849">
        <w:t>.202</w:t>
      </w:r>
      <w:r w:rsidR="00E20361">
        <w:t>4</w:t>
      </w:r>
      <w:r w:rsidRPr="00FF5849">
        <w:t xml:space="preserve">. https://www.nccn.org/professionals/physician_gls/pdf/anal.pdf Accessed </w:t>
      </w:r>
      <w:r w:rsidR="00D15BFA">
        <w:t>November</w:t>
      </w:r>
      <w:r w:rsidR="00D15BFA" w:rsidRPr="00FF5849">
        <w:t xml:space="preserve"> </w:t>
      </w:r>
      <w:r w:rsidR="00D15BFA">
        <w:t>2</w:t>
      </w:r>
      <w:r w:rsidRPr="00FF5849">
        <w:t>9, 202</w:t>
      </w:r>
      <w:r w:rsidR="00D15BFA">
        <w:t>4</w:t>
      </w:r>
      <w:r w:rsidR="00B04801" w:rsidRPr="00FF5849">
        <w:t>.</w:t>
      </w:r>
    </w:p>
    <w:p w14:paraId="6F780DB6" w14:textId="59EA5317" w:rsidR="00D15BFA" w:rsidRPr="00FF5849" w:rsidRDefault="00D15BFA" w:rsidP="00D15BFA">
      <w:pPr>
        <w:pStyle w:val="ReferenceOrdered"/>
        <w:keepNext w:val="0"/>
        <w:numPr>
          <w:ilvl w:val="0"/>
          <w:numId w:val="31"/>
        </w:numPr>
        <w:ind w:left="360" w:hanging="360"/>
      </w:pPr>
      <w:r w:rsidRPr="00D15BFA">
        <w:t xml:space="preserve">National Comprehensive Cancer Network. NCCN Clinical Practice Guidelines in Oncology: Head and Neck Cancers. Version </w:t>
      </w:r>
      <w:r w:rsidR="009A40BE">
        <w:t>1</w:t>
      </w:r>
      <w:r w:rsidRPr="00D15BFA">
        <w:t>.202</w:t>
      </w:r>
      <w:r w:rsidR="009A40BE">
        <w:t>5</w:t>
      </w:r>
      <w:r w:rsidRPr="00D15BFA">
        <w:t xml:space="preserve">. https://www.nccn.org/professionals/physician_gls/pdf/head-and-neck.pdf Accessed </w:t>
      </w:r>
      <w:r w:rsidR="009A40BE">
        <w:t>November</w:t>
      </w:r>
      <w:r w:rsidR="009A40BE" w:rsidRPr="00D15BFA">
        <w:t xml:space="preserve"> </w:t>
      </w:r>
      <w:r w:rsidR="009A40BE">
        <w:t>2</w:t>
      </w:r>
      <w:r>
        <w:t>9</w:t>
      </w:r>
      <w:r w:rsidRPr="00D15BFA">
        <w:t>, 202</w:t>
      </w:r>
      <w:r w:rsidR="009A40BE">
        <w:t>4</w:t>
      </w:r>
      <w:r w:rsidRPr="00D15BFA">
        <w:t>.</w:t>
      </w:r>
    </w:p>
    <w:sectPr w:rsidR="00D15BFA" w:rsidRPr="00FF5849" w:rsidSect="00DD4227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DF4C1" w14:textId="77777777" w:rsidR="00552134" w:rsidRDefault="00552134">
      <w:r>
        <w:separator/>
      </w:r>
    </w:p>
  </w:endnote>
  <w:endnote w:type="continuationSeparator" w:id="0">
    <w:p w14:paraId="71D440D8" w14:textId="77777777" w:rsidR="00552134" w:rsidRDefault="00552134">
      <w:r>
        <w:continuationSeparator/>
      </w:r>
    </w:p>
  </w:endnote>
  <w:endnote w:type="continuationNotice" w:id="1">
    <w:p w14:paraId="07489795" w14:textId="77777777" w:rsidR="00552134" w:rsidRDefault="00552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067CB9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3E1873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B5694" w:rsidRPr="001B5694">
      <w:rPr>
        <w:rFonts w:cs="Arial"/>
        <w:noProof/>
        <w:sz w:val="16"/>
        <w:szCs w:val="16"/>
        <w:lang w:val="pt-BR"/>
      </w:rPr>
      <w:t>Perjeta</w:t>
    </w:r>
    <w:r w:rsidR="001B5694">
      <w:rPr>
        <w:rFonts w:cs="Arial"/>
        <w:noProof/>
        <w:snapToGrid w:val="0"/>
        <w:color w:val="000000"/>
        <w:sz w:val="16"/>
        <w:szCs w:val="16"/>
        <w:lang w:val="pt-BR"/>
      </w:rPr>
      <w:t xml:space="preserve"> SGM 1899-A</w:t>
    </w:r>
    <w:r w:rsidR="001B5694" w:rsidRPr="001B5694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3E1873">
      <w:rPr>
        <w:rFonts w:cs="Arial"/>
        <w:snapToGrid w:val="0"/>
        <w:color w:val="000000"/>
        <w:sz w:val="16"/>
        <w:lang w:val="pt-BR"/>
      </w:rPr>
      <w:tab/>
      <w:t>© 202</w:t>
    </w:r>
    <w:r w:rsidR="006578A9">
      <w:rPr>
        <w:rFonts w:cs="Arial"/>
        <w:snapToGrid w:val="0"/>
        <w:color w:val="000000"/>
        <w:sz w:val="16"/>
        <w:lang w:val="pt-BR"/>
      </w:rPr>
      <w:t>5</w:t>
    </w:r>
    <w:r w:rsidRPr="003E1873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2D6F8CD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139B261" w:rsidR="00F75C81" w:rsidRPr="00AA1E6A" w:rsidRDefault="00C36B72" w:rsidP="00DD422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8F398A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3E1873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B5694" w:rsidRPr="001B5694">
      <w:rPr>
        <w:rFonts w:cs="Arial"/>
        <w:noProof/>
        <w:sz w:val="16"/>
        <w:szCs w:val="16"/>
        <w:lang w:val="pt-BR"/>
      </w:rPr>
      <w:t>Perjeta</w:t>
    </w:r>
    <w:r w:rsidR="001B5694">
      <w:rPr>
        <w:rFonts w:cs="Arial"/>
        <w:noProof/>
        <w:snapToGrid w:val="0"/>
        <w:color w:val="000000"/>
        <w:sz w:val="16"/>
        <w:szCs w:val="16"/>
        <w:lang w:val="pt-BR"/>
      </w:rPr>
      <w:t xml:space="preserve"> SGM 1899-A</w:t>
    </w:r>
    <w:r w:rsidR="001B5694" w:rsidRPr="001B5694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3E1873">
      <w:rPr>
        <w:rFonts w:cs="Arial"/>
        <w:snapToGrid w:val="0"/>
        <w:color w:val="000000"/>
        <w:sz w:val="16"/>
        <w:lang w:val="pt-BR"/>
      </w:rPr>
      <w:tab/>
      <w:t>© 202</w:t>
    </w:r>
    <w:r w:rsidR="00B40021">
      <w:rPr>
        <w:rFonts w:cs="Arial"/>
        <w:snapToGrid w:val="0"/>
        <w:color w:val="000000"/>
        <w:sz w:val="16"/>
        <w:lang w:val="pt-BR"/>
      </w:rPr>
      <w:t>5</w:t>
    </w:r>
    <w:r w:rsidRPr="003E1873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411FDA18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5D6F478" w:rsidR="00ED04EC" w:rsidRPr="00F50D98" w:rsidRDefault="00F50D98" w:rsidP="0073549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C2468" w14:textId="4B57F502" w:rsidR="004664C3" w:rsidRPr="00F50D98" w:rsidRDefault="004664C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A89AC" w14:textId="77777777" w:rsidR="00552134" w:rsidRDefault="00552134">
      <w:r>
        <w:separator/>
      </w:r>
    </w:p>
  </w:footnote>
  <w:footnote w:type="continuationSeparator" w:id="0">
    <w:p w14:paraId="74C3BAC8" w14:textId="77777777" w:rsidR="00552134" w:rsidRDefault="00552134">
      <w:r>
        <w:continuationSeparator/>
      </w:r>
    </w:p>
  </w:footnote>
  <w:footnote w:type="continuationNotice" w:id="1">
    <w:p w14:paraId="4FA43F91" w14:textId="77777777" w:rsidR="00552134" w:rsidRDefault="005521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82208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664C3" w:rsidRDefault="00ED04EC" w:rsidP="004664C3">
          <w:pPr>
            <w:pStyle w:val="RefTableData"/>
          </w:pPr>
          <w:r w:rsidRPr="004664C3">
            <w:t>Reference number(s)</w:t>
          </w:r>
        </w:p>
      </w:tc>
    </w:tr>
    <w:tr w:rsidR="005612FF" w:rsidRPr="00E82208" w14:paraId="703C6588" w14:textId="014E0265">
      <w:trPr>
        <w:trHeight w:val="378"/>
        <w:jc w:val="right"/>
      </w:trPr>
      <w:tc>
        <w:tcPr>
          <w:tcW w:w="1854" w:type="dxa"/>
          <w:hideMark/>
        </w:tcPr>
        <w:p w14:paraId="51CE3E64" w14:textId="0A28A157" w:rsidR="005612FF" w:rsidRPr="004664C3" w:rsidRDefault="005612FF" w:rsidP="004664C3">
          <w:pPr>
            <w:pStyle w:val="RefTableData"/>
          </w:pPr>
          <w:r w:rsidRPr="004664C3">
            <w:t>1899-A</w:t>
          </w:r>
        </w:p>
      </w:tc>
    </w:tr>
  </w:tbl>
  <w:p w14:paraId="0D5ACCC2" w14:textId="462A1075" w:rsidR="00ED04EC" w:rsidRPr="00E82208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664C3" w:rsidRPr="00E82208" w14:paraId="13922361" w14:textId="77777777" w:rsidTr="00B17E87">
      <w:trPr>
        <w:trHeight w:val="144"/>
        <w:jc w:val="right"/>
      </w:trPr>
      <w:tc>
        <w:tcPr>
          <w:tcW w:w="1854" w:type="dxa"/>
          <w:hideMark/>
        </w:tcPr>
        <w:p w14:paraId="60115260" w14:textId="77777777" w:rsidR="004664C3" w:rsidRPr="004664C3" w:rsidRDefault="004664C3" w:rsidP="004664C3">
          <w:pPr>
            <w:pStyle w:val="RefTableData"/>
          </w:pPr>
          <w:r w:rsidRPr="004664C3">
            <w:t>Reference number(s)</w:t>
          </w:r>
        </w:p>
      </w:tc>
    </w:tr>
    <w:tr w:rsidR="004664C3" w:rsidRPr="00E82208" w14:paraId="5C2DB4CD" w14:textId="77777777" w:rsidTr="00B17E87">
      <w:trPr>
        <w:trHeight w:val="378"/>
        <w:jc w:val="right"/>
      </w:trPr>
      <w:tc>
        <w:tcPr>
          <w:tcW w:w="1854" w:type="dxa"/>
          <w:hideMark/>
        </w:tcPr>
        <w:p w14:paraId="6863EAA5" w14:textId="77777777" w:rsidR="004664C3" w:rsidRPr="004664C3" w:rsidRDefault="004664C3" w:rsidP="004664C3">
          <w:pPr>
            <w:pStyle w:val="RefTableData"/>
          </w:pPr>
          <w:r w:rsidRPr="004664C3">
            <w:t>1899-A</w:t>
          </w:r>
        </w:p>
      </w:tc>
    </w:tr>
  </w:tbl>
  <w:p w14:paraId="6ADC3DE5" w14:textId="77777777" w:rsidR="004664C3" w:rsidRPr="004664C3" w:rsidRDefault="004664C3" w:rsidP="004664C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27C03"/>
    <w:multiLevelType w:val="hybridMultilevel"/>
    <w:tmpl w:val="AF503138"/>
    <w:lvl w:ilvl="0" w:tplc="6CDA86C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864D08"/>
    <w:multiLevelType w:val="hybridMultilevel"/>
    <w:tmpl w:val="014C426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7517A2"/>
    <w:multiLevelType w:val="hybridMultilevel"/>
    <w:tmpl w:val="A1AA7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21FEB"/>
    <w:multiLevelType w:val="hybridMultilevel"/>
    <w:tmpl w:val="CB5AF20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B411A3"/>
    <w:multiLevelType w:val="hybridMultilevel"/>
    <w:tmpl w:val="004E13EA"/>
    <w:lvl w:ilvl="0" w:tplc="FFFFFFFF">
      <w:start w:val="1"/>
      <w:numFmt w:val="decimal"/>
      <w:lvlText w:val="1%1."/>
      <w:lvlJc w:val="center"/>
      <w:pPr>
        <w:ind w:left="720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91301"/>
    <w:multiLevelType w:val="hybridMultilevel"/>
    <w:tmpl w:val="A6E085B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280636"/>
    <w:multiLevelType w:val="hybridMultilevel"/>
    <w:tmpl w:val="1504860A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094132"/>
    <w:multiLevelType w:val="hybridMultilevel"/>
    <w:tmpl w:val="A8A8C90A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FFFFFFFF">
      <w:start w:val="1"/>
      <w:numFmt w:val="lowerLetter"/>
      <w:lvlText w:val="%5."/>
      <w:lvlJc w:val="left"/>
      <w:pPr>
        <w:ind w:left="1800" w:hanging="360"/>
      </w:pPr>
    </w:lvl>
    <w:lvl w:ilvl="5" w:tplc="FFFFFFFF">
      <w:start w:val="1"/>
      <w:numFmt w:val="lowerRoman"/>
      <w:lvlText w:val="%6."/>
      <w:lvlJc w:val="right"/>
      <w:pPr>
        <w:ind w:left="216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DC05156"/>
    <w:multiLevelType w:val="hybridMultilevel"/>
    <w:tmpl w:val="56BE22D8"/>
    <w:lvl w:ilvl="0" w:tplc="04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314158EA"/>
    <w:multiLevelType w:val="hybridMultilevel"/>
    <w:tmpl w:val="E24E85A4"/>
    <w:lvl w:ilvl="0" w:tplc="BAB67434">
      <w:start w:val="1"/>
      <w:numFmt w:val="decimal"/>
      <w:lvlText w:val="1%1."/>
      <w:lvlJc w:val="center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534434"/>
    <w:multiLevelType w:val="hybridMultilevel"/>
    <w:tmpl w:val="798460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214E2B"/>
    <w:multiLevelType w:val="hybridMultilevel"/>
    <w:tmpl w:val="4FE682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B45F64"/>
    <w:multiLevelType w:val="hybridMultilevel"/>
    <w:tmpl w:val="4FE682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41A22"/>
    <w:multiLevelType w:val="hybridMultilevel"/>
    <w:tmpl w:val="9B4C40DC"/>
    <w:lvl w:ilvl="0" w:tplc="A4143EE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1633B3"/>
    <w:multiLevelType w:val="hybridMultilevel"/>
    <w:tmpl w:val="02F27660"/>
    <w:lvl w:ilvl="0" w:tplc="6CDA86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640DF"/>
    <w:multiLevelType w:val="hybridMultilevel"/>
    <w:tmpl w:val="9E5A86BE"/>
    <w:lvl w:ilvl="0" w:tplc="0FBAA0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C8B454FA">
      <w:start w:val="1"/>
      <w:numFmt w:val="upperLetter"/>
      <w:lvlText w:val="%2."/>
      <w:lvlJc w:val="left"/>
      <w:pPr>
        <w:ind w:left="108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144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4187B48"/>
    <w:multiLevelType w:val="hybridMultilevel"/>
    <w:tmpl w:val="8A347A70"/>
    <w:lvl w:ilvl="0" w:tplc="6CDA86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A2558"/>
    <w:multiLevelType w:val="hybridMultilevel"/>
    <w:tmpl w:val="A1801CC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ED3ED3"/>
    <w:multiLevelType w:val="hybridMultilevel"/>
    <w:tmpl w:val="75781992"/>
    <w:lvl w:ilvl="0" w:tplc="0409000F">
      <w:start w:val="1"/>
      <w:numFmt w:val="decimal"/>
      <w:lvlText w:val="%1."/>
      <w:lvlJc w:val="left"/>
      <w:pPr>
        <w:ind w:left="1352" w:hanging="360"/>
      </w:p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 w15:restartNumberingAfterBreak="0">
    <w:nsid w:val="7F4254E9"/>
    <w:multiLevelType w:val="hybridMultilevel"/>
    <w:tmpl w:val="4FE68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5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7"/>
  </w:num>
  <w:num w:numId="17" w16cid:durableId="2128498676">
    <w:abstractNumId w:val="40"/>
  </w:num>
  <w:num w:numId="18" w16cid:durableId="299724409">
    <w:abstractNumId w:val="32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42"/>
  </w:num>
  <w:num w:numId="22" w16cid:durableId="1472481103">
    <w:abstractNumId w:val="34"/>
  </w:num>
  <w:num w:numId="23" w16cid:durableId="1997420403">
    <w:abstractNumId w:val="37"/>
  </w:num>
  <w:num w:numId="24" w16cid:durableId="33312838">
    <w:abstractNumId w:val="33"/>
  </w:num>
  <w:num w:numId="25" w16cid:durableId="507404939">
    <w:abstractNumId w:val="26"/>
  </w:num>
  <w:num w:numId="26" w16cid:durableId="1717578568">
    <w:abstractNumId w:val="25"/>
  </w:num>
  <w:num w:numId="27" w16cid:durableId="218906192">
    <w:abstractNumId w:val="30"/>
  </w:num>
  <w:num w:numId="28" w16cid:durableId="936643453">
    <w:abstractNumId w:val="41"/>
  </w:num>
  <w:num w:numId="29" w16cid:durableId="475689285">
    <w:abstractNumId w:val="36"/>
  </w:num>
  <w:num w:numId="30" w16cid:durableId="1604994175">
    <w:abstractNumId w:val="39"/>
  </w:num>
  <w:num w:numId="31" w16cid:durableId="17201339">
    <w:abstractNumId w:val="10"/>
  </w:num>
  <w:num w:numId="32" w16cid:durableId="181818074">
    <w:abstractNumId w:val="13"/>
  </w:num>
  <w:num w:numId="33" w16cid:durableId="1040402001">
    <w:abstractNumId w:val="24"/>
  </w:num>
  <w:num w:numId="34" w16cid:durableId="1541740861">
    <w:abstractNumId w:val="19"/>
  </w:num>
  <w:num w:numId="35" w16cid:durableId="1923442736">
    <w:abstractNumId w:val="38"/>
  </w:num>
  <w:num w:numId="36" w16cid:durableId="1874228650">
    <w:abstractNumId w:val="43"/>
  </w:num>
  <w:num w:numId="37" w16cid:durableId="149643894">
    <w:abstractNumId w:val="21"/>
  </w:num>
  <w:num w:numId="38" w16cid:durableId="816847021">
    <w:abstractNumId w:val="18"/>
  </w:num>
  <w:num w:numId="39" w16cid:durableId="597375660">
    <w:abstractNumId w:val="23"/>
  </w:num>
  <w:num w:numId="40" w16cid:durableId="1865558277">
    <w:abstractNumId w:val="22"/>
  </w:num>
  <w:num w:numId="41" w16cid:durableId="141627906">
    <w:abstractNumId w:val="44"/>
  </w:num>
  <w:num w:numId="42" w16cid:durableId="239946406">
    <w:abstractNumId w:val="11"/>
  </w:num>
  <w:num w:numId="43" w16cid:durableId="1176765910">
    <w:abstractNumId w:val="20"/>
  </w:num>
  <w:num w:numId="44" w16cid:durableId="80179423">
    <w:abstractNumId w:val="42"/>
  </w:num>
  <w:num w:numId="45" w16cid:durableId="1120537820">
    <w:abstractNumId w:val="29"/>
  </w:num>
  <w:num w:numId="46" w16cid:durableId="536167659">
    <w:abstractNumId w:val="42"/>
  </w:num>
  <w:num w:numId="47" w16cid:durableId="83650858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2A3"/>
    <w:rsid w:val="000025F0"/>
    <w:rsid w:val="0000301E"/>
    <w:rsid w:val="00003A88"/>
    <w:rsid w:val="000040CA"/>
    <w:rsid w:val="00004110"/>
    <w:rsid w:val="0000483A"/>
    <w:rsid w:val="00004F4E"/>
    <w:rsid w:val="00005C28"/>
    <w:rsid w:val="00006174"/>
    <w:rsid w:val="00006AC2"/>
    <w:rsid w:val="00006E19"/>
    <w:rsid w:val="0000706F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0151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3C2C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F64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7E0"/>
    <w:rsid w:val="00174F3B"/>
    <w:rsid w:val="00175B12"/>
    <w:rsid w:val="00175F8E"/>
    <w:rsid w:val="00176167"/>
    <w:rsid w:val="00176A70"/>
    <w:rsid w:val="0017701E"/>
    <w:rsid w:val="00177020"/>
    <w:rsid w:val="00177E2C"/>
    <w:rsid w:val="0018072F"/>
    <w:rsid w:val="00180A53"/>
    <w:rsid w:val="0018103D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509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EB4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55A2"/>
    <w:rsid w:val="001B5694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1DA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3F9F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BC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1E9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AE4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2AA"/>
    <w:rsid w:val="00342365"/>
    <w:rsid w:val="0034323D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A7E15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8D"/>
    <w:rsid w:val="003C1EA0"/>
    <w:rsid w:val="003C2846"/>
    <w:rsid w:val="003C2DBA"/>
    <w:rsid w:val="003C2F46"/>
    <w:rsid w:val="003C3B92"/>
    <w:rsid w:val="003C3EB1"/>
    <w:rsid w:val="003C47E1"/>
    <w:rsid w:val="003C4CD4"/>
    <w:rsid w:val="003C60D3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873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2D9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5C47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5EB2"/>
    <w:rsid w:val="00456003"/>
    <w:rsid w:val="00456A47"/>
    <w:rsid w:val="0045790D"/>
    <w:rsid w:val="00457BC4"/>
    <w:rsid w:val="00460001"/>
    <w:rsid w:val="0046058E"/>
    <w:rsid w:val="00460F19"/>
    <w:rsid w:val="00460F4A"/>
    <w:rsid w:val="00460F61"/>
    <w:rsid w:val="0046197A"/>
    <w:rsid w:val="00461A9E"/>
    <w:rsid w:val="00462FA2"/>
    <w:rsid w:val="00465D41"/>
    <w:rsid w:val="004664C3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CB2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EFB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EBC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0D1A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134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2FF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67922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442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54C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18AF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363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1D0"/>
    <w:rsid w:val="0065738F"/>
    <w:rsid w:val="006578A9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0BA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39C2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549B"/>
    <w:rsid w:val="007363FE"/>
    <w:rsid w:val="00736D6F"/>
    <w:rsid w:val="0074014C"/>
    <w:rsid w:val="00741656"/>
    <w:rsid w:val="0074207B"/>
    <w:rsid w:val="00742164"/>
    <w:rsid w:val="007425D5"/>
    <w:rsid w:val="0074266B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B29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24E6"/>
    <w:rsid w:val="007B3C6A"/>
    <w:rsid w:val="007B41A6"/>
    <w:rsid w:val="007B4652"/>
    <w:rsid w:val="007B4FD7"/>
    <w:rsid w:val="007B5F56"/>
    <w:rsid w:val="007B676D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6F45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2C04"/>
    <w:rsid w:val="00822E57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0C3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1C6C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3854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5D50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1B57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6E9"/>
    <w:rsid w:val="00993CD7"/>
    <w:rsid w:val="00994865"/>
    <w:rsid w:val="00995A6D"/>
    <w:rsid w:val="00995DAD"/>
    <w:rsid w:val="00995F1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40BE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8C0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D70"/>
    <w:rsid w:val="00A37EFC"/>
    <w:rsid w:val="00A40451"/>
    <w:rsid w:val="00A40764"/>
    <w:rsid w:val="00A40A9D"/>
    <w:rsid w:val="00A412F8"/>
    <w:rsid w:val="00A41637"/>
    <w:rsid w:val="00A41972"/>
    <w:rsid w:val="00A41BCD"/>
    <w:rsid w:val="00A41CA3"/>
    <w:rsid w:val="00A41D75"/>
    <w:rsid w:val="00A43152"/>
    <w:rsid w:val="00A44E8E"/>
    <w:rsid w:val="00A45776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142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6F29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0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4F7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464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73E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96A"/>
    <w:rsid w:val="00BD1CC1"/>
    <w:rsid w:val="00BD2A68"/>
    <w:rsid w:val="00BD2E54"/>
    <w:rsid w:val="00BD5061"/>
    <w:rsid w:val="00BD589A"/>
    <w:rsid w:val="00BD5D53"/>
    <w:rsid w:val="00BD672B"/>
    <w:rsid w:val="00BD6ED4"/>
    <w:rsid w:val="00BE168E"/>
    <w:rsid w:val="00BE181E"/>
    <w:rsid w:val="00BE1A32"/>
    <w:rsid w:val="00BE1ED6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444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288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12A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7D6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06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307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BFA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59E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197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227"/>
    <w:rsid w:val="00DD4EA3"/>
    <w:rsid w:val="00DD5193"/>
    <w:rsid w:val="00DD5970"/>
    <w:rsid w:val="00DD70A3"/>
    <w:rsid w:val="00DE02C1"/>
    <w:rsid w:val="00DE086C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19D5"/>
    <w:rsid w:val="00E12598"/>
    <w:rsid w:val="00E13FD8"/>
    <w:rsid w:val="00E1542D"/>
    <w:rsid w:val="00E159FD"/>
    <w:rsid w:val="00E15EC4"/>
    <w:rsid w:val="00E165CF"/>
    <w:rsid w:val="00E166ED"/>
    <w:rsid w:val="00E1699F"/>
    <w:rsid w:val="00E20361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016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007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208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863"/>
    <w:rsid w:val="00EE5BC6"/>
    <w:rsid w:val="00EE5CD7"/>
    <w:rsid w:val="00EE6B14"/>
    <w:rsid w:val="00EE781A"/>
    <w:rsid w:val="00EF0315"/>
    <w:rsid w:val="00EF1588"/>
    <w:rsid w:val="00EF1BCF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AFD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4556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D13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2FE4"/>
    <w:rsid w:val="00FF35C5"/>
    <w:rsid w:val="00FF37B2"/>
    <w:rsid w:val="00FF530E"/>
    <w:rsid w:val="00FF5849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84789F20-AA82-4F28-84E0-E0DB89F6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82208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E72007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7200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664C3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664C3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664C3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664C3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3940B-8547-40C0-9103-12FE896C569A}"/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>Perjeta 1899-A SGM P2023</vt:lpstr>
      <vt:lpstr>Specialty Guideline Management Perjeta</vt:lpstr>
      <vt:lpstr>    Products Referenced by this Document</vt:lpstr>
      <vt:lpstr>    Indications </vt:lpstr>
      <vt:lpstr>        FDA-approved Indications1</vt:lpstr>
      <vt:lpstr>        Compendial Uses2</vt:lpstr>
      <vt:lpstr>    Documentation</vt:lpstr>
      <vt:lpstr>    Coverage Criteria</vt:lpstr>
      <vt:lpstr>        Breast Cancer1-3</vt:lpstr>
      <vt:lpstr>        Colorectal Cancer2,4</vt:lpstr>
      <vt:lpstr>        Salivary Gland Tumor2,5</vt:lpstr>
      <vt:lpstr>        Biliary Tract Cancers2</vt:lpstr>
      <vt:lpstr>    Continuation of Therapy</vt:lpstr>
      <vt:lpstr>    References</vt:lpstr>
      <vt:lpstr>    Document History</vt:lpstr>
    </vt:vector>
  </TitlesOfParts>
  <Company>PCS Health Systems</Company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Perjeta SGM 1899-A</dc:title>
  <dc:subject/>
  <dc:creator>CVS Caremark</dc:creator>
  <cp:keywords/>
  <cp:lastModifiedBy>Huerta, Linda M</cp:lastModifiedBy>
  <cp:revision>3</cp:revision>
  <cp:lastPrinted>2018-01-09T08:01:00Z</cp:lastPrinted>
  <dcterms:created xsi:type="dcterms:W3CDTF">2025-05-08T21:56:00Z</dcterms:created>
  <dcterms:modified xsi:type="dcterms:W3CDTF">2025-05-08T21:57:00Z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</Properties>
</file>